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23" w:rsidRPr="00063A74" w:rsidRDefault="00807023" w:rsidP="00807023">
      <w:pPr>
        <w:pStyle w:val="10"/>
        <w:spacing w:beforeLines="50" w:afterLines="50" w:line="380" w:lineRule="exact"/>
        <w:jc w:val="center"/>
        <w:rPr>
          <w:rFonts w:hint="eastAsia"/>
          <w:color w:val="000000"/>
          <w:sz w:val="28"/>
          <w:szCs w:val="28"/>
        </w:rPr>
      </w:pPr>
      <w:bookmarkStart w:id="0" w:name="_Toc351487211"/>
      <w:bookmarkStart w:id="1" w:name="_Toc372895390"/>
      <w:r w:rsidRPr="00063A74">
        <w:rPr>
          <w:rFonts w:hint="eastAsia"/>
          <w:color w:val="000000"/>
          <w:sz w:val="28"/>
          <w:szCs w:val="28"/>
        </w:rPr>
        <w:t>仪器设备类资产信息登记单</w:t>
      </w:r>
      <w:bookmarkEnd w:id="0"/>
      <w:bookmarkEnd w:id="1"/>
    </w:p>
    <w:tbl>
      <w:tblPr>
        <w:tblStyle w:val="a5"/>
        <w:tblW w:w="9648" w:type="dxa"/>
        <w:jc w:val="center"/>
        <w:tblLook w:val="01E0"/>
      </w:tblPr>
      <w:tblGrid>
        <w:gridCol w:w="1188"/>
        <w:gridCol w:w="2880"/>
        <w:gridCol w:w="5580"/>
      </w:tblGrid>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登记项目</w:t>
            </w:r>
          </w:p>
        </w:tc>
        <w:tc>
          <w:tcPr>
            <w:tcW w:w="2880"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资产信息</w:t>
            </w:r>
          </w:p>
        </w:tc>
        <w:tc>
          <w:tcPr>
            <w:tcW w:w="5580" w:type="dxa"/>
            <w:vAlign w:val="center"/>
          </w:tcPr>
          <w:p w:rsidR="00807023" w:rsidRPr="00063A74" w:rsidRDefault="00807023" w:rsidP="00807023">
            <w:pPr>
              <w:spacing w:beforeLines="10" w:afterLines="10" w:line="260" w:lineRule="exact"/>
              <w:jc w:val="center"/>
              <w:rPr>
                <w:rFonts w:hint="eastAsia"/>
                <w:color w:val="000000"/>
              </w:rPr>
            </w:pPr>
            <w:r w:rsidRPr="00063A74">
              <w:rPr>
                <w:rFonts w:hint="eastAsia"/>
                <w:color w:val="000000"/>
              </w:rPr>
              <w:t>填写说明</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单位名称</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填写部、处、实验室等单位的具体名称。</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资产名称</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填写完整的仪器设备资产的名称。</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型　　号</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填写完整的仪器设备型号。</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规　　格</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ascii="宋体" w:hAnsi="宋体" w:hint="eastAsia"/>
                <w:color w:val="000000"/>
                <w:szCs w:val="20"/>
              </w:rPr>
            </w:pPr>
            <w:r w:rsidRPr="00063A74">
              <w:rPr>
                <w:rFonts w:hint="eastAsia"/>
                <w:color w:val="000000"/>
              </w:rPr>
              <w:t>填写仪器设备的主要规格。如：计算机应填写</w:t>
            </w:r>
            <w:r w:rsidRPr="00063A74">
              <w:rPr>
                <w:rFonts w:hint="eastAsia"/>
                <w:color w:val="000000"/>
              </w:rPr>
              <w:t>CPU</w:t>
            </w:r>
            <w:r w:rsidRPr="00063A74">
              <w:rPr>
                <w:rFonts w:hint="eastAsia"/>
                <w:color w:val="000000"/>
              </w:rPr>
              <w:t>类型</w:t>
            </w:r>
            <w:r w:rsidRPr="00063A74">
              <w:rPr>
                <w:rFonts w:hint="eastAsia"/>
                <w:color w:val="000000"/>
              </w:rPr>
              <w:t>/</w:t>
            </w:r>
            <w:r w:rsidRPr="00063A74">
              <w:rPr>
                <w:rFonts w:hint="eastAsia"/>
                <w:color w:val="000000"/>
              </w:rPr>
              <w:t>内存在小</w:t>
            </w:r>
            <w:r w:rsidRPr="00063A74">
              <w:rPr>
                <w:rFonts w:hint="eastAsia"/>
                <w:color w:val="000000"/>
              </w:rPr>
              <w:t>/</w:t>
            </w:r>
            <w:r w:rsidRPr="00063A74">
              <w:rPr>
                <w:rFonts w:hint="eastAsia"/>
                <w:color w:val="000000"/>
              </w:rPr>
              <w:t>硬盘大小</w:t>
            </w:r>
            <w:r w:rsidRPr="00063A74">
              <w:rPr>
                <w:rFonts w:hint="eastAsia"/>
                <w:color w:val="000000"/>
              </w:rPr>
              <w:t>/</w:t>
            </w:r>
            <w:r w:rsidRPr="00063A74">
              <w:rPr>
                <w:rFonts w:hint="eastAsia"/>
                <w:color w:val="000000"/>
              </w:rPr>
              <w:t>显示器尺寸及类型，如</w:t>
            </w:r>
            <w:r w:rsidRPr="00063A74">
              <w:rPr>
                <w:rFonts w:hint="eastAsia"/>
                <w:color w:val="000000"/>
              </w:rPr>
              <w:t>Core E6550/2G/</w:t>
            </w:r>
            <w:smartTag w:uri="urn:schemas-microsoft-com:office:smarttags" w:element="chmetcnv">
              <w:smartTagPr>
                <w:attr w:name="UnitName" w:val="g"/>
                <w:attr w:name="SourceValue" w:val="500"/>
                <w:attr w:name="HasSpace" w:val="False"/>
                <w:attr w:name="Negative" w:val="False"/>
                <w:attr w:name="NumberType" w:val="1"/>
                <w:attr w:name="TCSC" w:val="0"/>
              </w:smartTagPr>
              <w:r w:rsidRPr="00063A74">
                <w:rPr>
                  <w:rFonts w:hint="eastAsia"/>
                  <w:color w:val="000000"/>
                </w:rPr>
                <w:t>500G</w:t>
              </w:r>
            </w:smartTag>
            <w:r w:rsidRPr="00063A74">
              <w:rPr>
                <w:rFonts w:hint="eastAsia"/>
                <w:color w:val="000000"/>
              </w:rPr>
              <w:t>/</w:t>
            </w:r>
            <w:smartTag w:uri="urn:schemas-microsoft-com:office:smarttags" w:element="chmetcnv">
              <w:smartTagPr>
                <w:attr w:name="UnitName" w:val="”"/>
                <w:attr w:name="SourceValue" w:val="19"/>
                <w:attr w:name="HasSpace" w:val="False"/>
                <w:attr w:name="Negative" w:val="False"/>
                <w:attr w:name="NumberType" w:val="1"/>
                <w:attr w:name="TCSC" w:val="0"/>
              </w:smartTagPr>
              <w:r w:rsidRPr="00063A74">
                <w:rPr>
                  <w:rFonts w:hint="eastAsia"/>
                  <w:color w:val="000000"/>
                </w:rPr>
                <w:t>19</w:t>
              </w:r>
              <w:r w:rsidRPr="00063A74">
                <w:rPr>
                  <w:color w:val="000000"/>
                </w:rPr>
                <w:t>”</w:t>
              </w:r>
            </w:smartTag>
            <w:r w:rsidRPr="00063A74">
              <w:rPr>
                <w:rFonts w:hint="eastAsia"/>
                <w:color w:val="000000"/>
              </w:rPr>
              <w:t>WLCD</w:t>
            </w:r>
            <w:r w:rsidRPr="00063A74">
              <w:rPr>
                <w:rFonts w:hint="eastAsia"/>
                <w:color w:val="000000"/>
              </w:rPr>
              <w:t>；离心机：</w:t>
            </w:r>
            <w:r w:rsidRPr="00063A74">
              <w:rPr>
                <w:rFonts w:ascii="宋体" w:hAnsi="宋体" w:hint="eastAsia"/>
                <w:color w:val="000000"/>
                <w:szCs w:val="20"/>
              </w:rPr>
              <w:t>转速</w:t>
            </w:r>
            <w:r w:rsidRPr="00063A74">
              <w:rPr>
                <w:rFonts w:ascii="宋体" w:hAnsi="宋体"/>
                <w:color w:val="000000"/>
                <w:szCs w:val="20"/>
              </w:rPr>
              <w:t>/分钟</w:t>
            </w:r>
            <w:r w:rsidRPr="00063A74">
              <w:rPr>
                <w:rFonts w:ascii="宋体" w:hAnsi="宋体" w:hint="eastAsia"/>
                <w:color w:val="000000"/>
                <w:szCs w:val="20"/>
              </w:rPr>
              <w:t>；电子天平：最大称量刻度和分度值；等等</w:t>
            </w:r>
            <w:r w:rsidRPr="00063A74">
              <w:rPr>
                <w:rFonts w:hint="eastAsia"/>
                <w:color w:val="000000"/>
              </w:rPr>
              <w:t>。</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出厂编号</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ascii="宋体" w:hAnsi="宋体" w:hint="eastAsia"/>
                <w:color w:val="000000"/>
              </w:rPr>
            </w:pPr>
            <w:r w:rsidRPr="00063A74">
              <w:rPr>
                <w:rFonts w:hint="eastAsia"/>
                <w:color w:val="000000"/>
              </w:rPr>
              <w:t>不同的生产商对出厂编号的说明有所不同，</w:t>
            </w:r>
            <w:r w:rsidRPr="00063A74">
              <w:rPr>
                <w:rFonts w:ascii="宋体" w:hAnsi="宋体" w:hint="eastAsia"/>
                <w:color w:val="000000"/>
              </w:rPr>
              <w:t>出厂号是仪器设备出厂时的制造编号，也叫机身号、序列号、</w:t>
            </w:r>
            <w:r w:rsidRPr="00063A74">
              <w:rPr>
                <w:rFonts w:ascii="宋体" w:hAnsi="宋体" w:hint="eastAsia"/>
                <w:color w:val="000000"/>
                <w:szCs w:val="28"/>
              </w:rPr>
              <w:t>Serial Number（简写为S/N或SN）</w:t>
            </w:r>
            <w:r w:rsidRPr="00063A74">
              <w:rPr>
                <w:rFonts w:ascii="宋体" w:hAnsi="宋体" w:hint="eastAsia"/>
                <w:color w:val="000000"/>
              </w:rPr>
              <w:t xml:space="preserve">，是厂家在生产产品时确定的唯一编号，可从仪器标牌和保修卡等地方查找到，极个别产品无出厂号的可不填。 </w:t>
            </w:r>
          </w:p>
          <w:p w:rsidR="00807023" w:rsidRPr="00063A74" w:rsidRDefault="00807023" w:rsidP="00807023">
            <w:pPr>
              <w:spacing w:beforeLines="10" w:afterLines="10" w:line="260" w:lineRule="exact"/>
              <w:rPr>
                <w:rFonts w:ascii="宋体" w:hAnsi="宋体" w:hint="eastAsia"/>
                <w:color w:val="000000"/>
              </w:rPr>
            </w:pPr>
            <w:r w:rsidRPr="00063A74">
              <w:rPr>
                <w:rFonts w:ascii="宋体" w:hAnsi="宋体" w:hint="eastAsia"/>
                <w:color w:val="000000"/>
              </w:rPr>
              <w:t>出厂号不同于“产品号”，英文P</w:t>
            </w:r>
            <w:r w:rsidRPr="00063A74">
              <w:rPr>
                <w:rFonts w:ascii="宋体" w:hAnsi="宋体"/>
                <w:color w:val="000000"/>
              </w:rPr>
              <w:t>art Number</w:t>
            </w:r>
            <w:r w:rsidRPr="00063A74">
              <w:rPr>
                <w:rFonts w:ascii="宋体" w:hAnsi="宋体" w:hint="eastAsia"/>
                <w:color w:val="000000"/>
              </w:rPr>
              <w:t>，简写P/N或PN，它是厂家对某类零部件或产品进行分类管理的一个编号，它不是唯一的，同类产品是相同的。 ※ 批量购置同类设备的，将所有仪器的出厂号填写在本栏内即可，不必每台设备都填写一页。</w:t>
            </w:r>
          </w:p>
          <w:p w:rsidR="00807023" w:rsidRPr="00063A74" w:rsidRDefault="00807023" w:rsidP="00807023">
            <w:pPr>
              <w:spacing w:beforeLines="10" w:afterLines="10" w:line="260" w:lineRule="exact"/>
              <w:rPr>
                <w:rFonts w:hint="eastAsia"/>
                <w:color w:val="000000"/>
              </w:rPr>
            </w:pPr>
            <w:r w:rsidRPr="00063A74">
              <w:rPr>
                <w:rFonts w:ascii="宋体" w:hAnsi="宋体" w:hint="eastAsia"/>
                <w:color w:val="000000"/>
              </w:rPr>
              <w:t>购置兼容计算机的，填写显示器的出厂号。</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生产厂家</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填写制造商的完整的名称，不是经销商的名称。</w:t>
            </w:r>
          </w:p>
          <w:p w:rsidR="00807023" w:rsidRPr="00063A74" w:rsidRDefault="00807023" w:rsidP="00807023">
            <w:pPr>
              <w:spacing w:beforeLines="10" w:afterLines="10" w:line="260" w:lineRule="exact"/>
              <w:rPr>
                <w:rFonts w:hint="eastAsia"/>
                <w:color w:val="000000"/>
              </w:rPr>
            </w:pPr>
            <w:r w:rsidRPr="00063A74">
              <w:rPr>
                <w:rFonts w:ascii="宋体" w:hAnsi="宋体" w:hint="eastAsia"/>
                <w:color w:val="000000"/>
              </w:rPr>
              <w:t>购置兼容计算机的，填写显示器的生产厂家。</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出厂日期</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填写仪器设备的生产日期，在仪器标牌或保修卡上有列示。</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单　　价</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为一台单独的仪器设备的价值。如果增值税发票中将货值和税额分开的，应将两项合并后列示。</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数</w:t>
            </w:r>
            <w:r w:rsidRPr="00063A74">
              <w:rPr>
                <w:rFonts w:hint="eastAsia"/>
                <w:color w:val="000000"/>
              </w:rPr>
              <w:t xml:space="preserve">   </w:t>
            </w:r>
            <w:r w:rsidRPr="00063A74">
              <w:rPr>
                <w:rFonts w:hint="eastAsia"/>
                <w:color w:val="000000"/>
              </w:rPr>
              <w:t>量</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填写购置完全同类型仪器设备的数量。</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领</w:t>
            </w:r>
            <w:r w:rsidRPr="00063A74">
              <w:rPr>
                <w:rFonts w:hint="eastAsia"/>
                <w:color w:val="000000"/>
              </w:rPr>
              <w:t xml:space="preserve"> </w:t>
            </w:r>
            <w:r w:rsidRPr="00063A74">
              <w:rPr>
                <w:rFonts w:hint="eastAsia"/>
                <w:color w:val="000000"/>
              </w:rPr>
              <w:t>用</w:t>
            </w:r>
            <w:r w:rsidRPr="00063A74">
              <w:rPr>
                <w:rFonts w:hint="eastAsia"/>
                <w:color w:val="000000"/>
              </w:rPr>
              <w:t xml:space="preserve"> </w:t>
            </w:r>
            <w:r w:rsidRPr="00063A74">
              <w:rPr>
                <w:rFonts w:hint="eastAsia"/>
                <w:color w:val="000000"/>
              </w:rPr>
              <w:t>人</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为仪器设备的实际使用和管理责任人；对科研购置仪器设备，领用人一般为课题负责人。</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经</w:t>
            </w:r>
            <w:r w:rsidRPr="00063A74">
              <w:rPr>
                <w:rFonts w:hint="eastAsia"/>
                <w:color w:val="000000"/>
              </w:rPr>
              <w:t xml:space="preserve"> </w:t>
            </w:r>
            <w:r w:rsidRPr="00063A74">
              <w:rPr>
                <w:rFonts w:hint="eastAsia"/>
                <w:color w:val="000000"/>
              </w:rPr>
              <w:t>办</w:t>
            </w:r>
            <w:r w:rsidRPr="00063A74">
              <w:rPr>
                <w:rFonts w:hint="eastAsia"/>
                <w:color w:val="000000"/>
              </w:rPr>
              <w:t xml:space="preserve"> </w:t>
            </w:r>
            <w:r w:rsidRPr="00063A74">
              <w:rPr>
                <w:rFonts w:hint="eastAsia"/>
                <w:color w:val="000000"/>
              </w:rPr>
              <w:t>人</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为经手购置或资产登记的人员。</w:t>
            </w:r>
          </w:p>
        </w:tc>
      </w:tr>
      <w:tr w:rsidR="00807023" w:rsidRPr="00063A74" w:rsidTr="00C4337E">
        <w:trPr>
          <w:trHeight w:val="567"/>
          <w:jc w:val="center"/>
        </w:trPr>
        <w:tc>
          <w:tcPr>
            <w:tcW w:w="1188" w:type="dxa"/>
            <w:vAlign w:val="center"/>
          </w:tcPr>
          <w:p w:rsidR="00807023" w:rsidRPr="00063A74" w:rsidRDefault="00807023" w:rsidP="00807023">
            <w:pPr>
              <w:spacing w:beforeLines="10" w:afterLines="10" w:line="300" w:lineRule="exact"/>
              <w:jc w:val="center"/>
              <w:rPr>
                <w:rFonts w:hint="eastAsia"/>
                <w:color w:val="000000"/>
              </w:rPr>
            </w:pPr>
            <w:r w:rsidRPr="00063A74">
              <w:rPr>
                <w:rFonts w:hint="eastAsia"/>
                <w:color w:val="000000"/>
              </w:rPr>
              <w:t>使用地点</w:t>
            </w:r>
          </w:p>
        </w:tc>
        <w:tc>
          <w:tcPr>
            <w:tcW w:w="2880" w:type="dxa"/>
            <w:vAlign w:val="center"/>
          </w:tcPr>
          <w:p w:rsidR="00807023" w:rsidRPr="00063A74" w:rsidRDefault="00807023" w:rsidP="00807023">
            <w:pPr>
              <w:spacing w:beforeLines="10" w:afterLines="10" w:line="300" w:lineRule="exact"/>
              <w:rPr>
                <w:rFonts w:hint="eastAsia"/>
                <w:color w:val="000000"/>
              </w:rPr>
            </w:pPr>
          </w:p>
        </w:tc>
        <w:tc>
          <w:tcPr>
            <w:tcW w:w="5580" w:type="dxa"/>
            <w:vAlign w:val="center"/>
          </w:tcPr>
          <w:p w:rsidR="00807023" w:rsidRPr="00063A74" w:rsidRDefault="00807023" w:rsidP="00807023">
            <w:pPr>
              <w:spacing w:beforeLines="10" w:afterLines="10" w:line="260" w:lineRule="exact"/>
              <w:rPr>
                <w:rFonts w:hint="eastAsia"/>
                <w:color w:val="000000"/>
              </w:rPr>
            </w:pPr>
            <w:r w:rsidRPr="00063A74">
              <w:rPr>
                <w:rFonts w:hint="eastAsia"/>
                <w:color w:val="000000"/>
              </w:rPr>
              <w:t>填写校区、楼名和房间号。</w:t>
            </w:r>
          </w:p>
        </w:tc>
      </w:tr>
    </w:tbl>
    <w:p w:rsidR="00807023" w:rsidRPr="00063A74" w:rsidRDefault="00807023" w:rsidP="00807023">
      <w:pPr>
        <w:rPr>
          <w:rFonts w:hint="eastAsia"/>
          <w:color w:val="000000"/>
        </w:rPr>
      </w:pPr>
      <w:r w:rsidRPr="00063A74">
        <w:rPr>
          <w:rFonts w:hint="eastAsia"/>
          <w:color w:val="000000"/>
        </w:rPr>
        <w:t>注：（</w:t>
      </w:r>
      <w:r w:rsidRPr="00063A74">
        <w:rPr>
          <w:rFonts w:hint="eastAsia"/>
          <w:color w:val="000000"/>
        </w:rPr>
        <w:t>1</w:t>
      </w:r>
      <w:r w:rsidRPr="00063A74">
        <w:rPr>
          <w:rFonts w:hint="eastAsia"/>
          <w:color w:val="000000"/>
        </w:rPr>
        <w:t>）对于</w:t>
      </w:r>
      <w:r w:rsidRPr="00063A74">
        <w:rPr>
          <w:color w:val="000000"/>
        </w:rPr>
        <w:t>单价在</w:t>
      </w:r>
      <w:r w:rsidRPr="00063A74">
        <w:rPr>
          <w:rFonts w:hint="eastAsia"/>
          <w:color w:val="000000"/>
        </w:rPr>
        <w:t>10</w:t>
      </w:r>
      <w:r w:rsidRPr="00063A74">
        <w:rPr>
          <w:color w:val="000000"/>
        </w:rPr>
        <w:t>00</w:t>
      </w:r>
      <w:r w:rsidRPr="00063A74">
        <w:rPr>
          <w:color w:val="000000"/>
        </w:rPr>
        <w:t>元（含</w:t>
      </w:r>
      <w:r w:rsidRPr="00063A74">
        <w:rPr>
          <w:rFonts w:hint="eastAsia"/>
          <w:color w:val="000000"/>
        </w:rPr>
        <w:t>10</w:t>
      </w:r>
      <w:r w:rsidRPr="00063A74">
        <w:rPr>
          <w:color w:val="000000"/>
        </w:rPr>
        <w:t>00</w:t>
      </w:r>
      <w:r w:rsidRPr="00063A74">
        <w:rPr>
          <w:color w:val="000000"/>
        </w:rPr>
        <w:t>元）以上，且耐用时间在一年以上，在使用过程中能保持其实物形态的</w:t>
      </w:r>
      <w:r w:rsidRPr="00063A74">
        <w:rPr>
          <w:rFonts w:hint="eastAsia"/>
          <w:color w:val="000000"/>
        </w:rPr>
        <w:t>仪器设备资产，在到校计财处办理报账手续前请先按上述登记内容填写仪器设备资产信息，然后到设备主管部门办理固定资产登记手续。更详细的登记要求请查阅《关于仪器设备登记信息的填写规范》。（</w:t>
      </w:r>
      <w:r w:rsidRPr="00063A74">
        <w:rPr>
          <w:rFonts w:hint="eastAsia"/>
          <w:color w:val="000000"/>
        </w:rPr>
        <w:t>2</w:t>
      </w:r>
      <w:r w:rsidRPr="00063A74">
        <w:rPr>
          <w:rFonts w:hint="eastAsia"/>
          <w:color w:val="000000"/>
        </w:rPr>
        <w:t>）办理资产登记的时间为每周一、三、五上午</w:t>
      </w:r>
      <w:r w:rsidRPr="00063A74">
        <w:rPr>
          <w:rFonts w:hint="eastAsia"/>
          <w:color w:val="000000"/>
        </w:rPr>
        <w:t>8:00</w:t>
      </w:r>
      <w:r w:rsidRPr="00063A74">
        <w:rPr>
          <w:rFonts w:hint="eastAsia"/>
          <w:color w:val="000000"/>
        </w:rPr>
        <w:t>－</w:t>
      </w:r>
      <w:r w:rsidRPr="00063A74">
        <w:rPr>
          <w:rFonts w:hint="eastAsia"/>
          <w:color w:val="000000"/>
        </w:rPr>
        <w:t>12:00</w:t>
      </w:r>
      <w:r w:rsidRPr="00063A74">
        <w:rPr>
          <w:rFonts w:hint="eastAsia"/>
          <w:color w:val="000000"/>
        </w:rPr>
        <w:t>，望周知。</w:t>
      </w:r>
    </w:p>
    <w:p w:rsidR="006C3787" w:rsidRDefault="006C3787"/>
    <w:sectPr w:rsidR="006C378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87" w:rsidRPr="00382664" w:rsidRDefault="006C3787" w:rsidP="00807023">
      <w:pPr>
        <w:rPr>
          <w:rFonts w:ascii="Arial" w:hAnsi="Arial" w:cs="Verdana"/>
          <w:sz w:val="28"/>
          <w:lang w:eastAsia="en-US"/>
        </w:rPr>
      </w:pPr>
      <w:r>
        <w:separator/>
      </w:r>
    </w:p>
  </w:endnote>
  <w:endnote w:type="continuationSeparator" w:id="1">
    <w:p w:rsidR="006C3787" w:rsidRPr="00382664" w:rsidRDefault="006C3787" w:rsidP="00807023">
      <w:pPr>
        <w:rPr>
          <w:rFonts w:ascii="Arial" w:hAnsi="Arial" w:cs="Verdana"/>
          <w:sz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87" w:rsidRPr="00382664" w:rsidRDefault="006C3787" w:rsidP="00807023">
      <w:pPr>
        <w:rPr>
          <w:rFonts w:ascii="Arial" w:hAnsi="Arial" w:cs="Verdana"/>
          <w:sz w:val="28"/>
          <w:lang w:eastAsia="en-US"/>
        </w:rPr>
      </w:pPr>
      <w:r>
        <w:separator/>
      </w:r>
    </w:p>
  </w:footnote>
  <w:footnote w:type="continuationSeparator" w:id="1">
    <w:p w:rsidR="006C3787" w:rsidRPr="00382664" w:rsidRDefault="006C3787" w:rsidP="00807023">
      <w:pPr>
        <w:rPr>
          <w:rFonts w:ascii="Arial" w:hAnsi="Arial" w:cs="Verdana"/>
          <w:sz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rsidP="0080702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23" w:rsidRDefault="0080702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1EB9"/>
    <w:multiLevelType w:val="multilevel"/>
    <w:tmpl w:val="BC104D94"/>
    <w:lvl w:ilvl="0">
      <w:start w:val="1"/>
      <w:numFmt w:val="decimal"/>
      <w:pStyle w:val="1"/>
      <w:lvlText w:val="%1."/>
      <w:lvlJc w:val="left"/>
      <w:pPr>
        <w:tabs>
          <w:tab w:val="num" w:pos="625"/>
        </w:tabs>
        <w:ind w:left="625" w:hanging="425"/>
      </w:pPr>
    </w:lvl>
    <w:lvl w:ilvl="1">
      <w:start w:val="1"/>
      <w:numFmt w:val="decimal"/>
      <w:lvlText w:val="%1.%2."/>
      <w:lvlJc w:val="left"/>
      <w:pPr>
        <w:tabs>
          <w:tab w:val="num" w:pos="767"/>
        </w:tabs>
        <w:ind w:left="767" w:hanging="567"/>
      </w:pPr>
    </w:lvl>
    <w:lvl w:ilvl="2">
      <w:start w:val="1"/>
      <w:numFmt w:val="decimal"/>
      <w:lvlText w:val="%1.%2.%3."/>
      <w:lvlJc w:val="left"/>
      <w:pPr>
        <w:tabs>
          <w:tab w:val="num" w:pos="909"/>
        </w:tabs>
        <w:ind w:left="909" w:hanging="709"/>
      </w:pPr>
    </w:lvl>
    <w:lvl w:ilvl="3">
      <w:start w:val="1"/>
      <w:numFmt w:val="decimal"/>
      <w:lvlText w:val="%1.%2.%3.%4."/>
      <w:lvlJc w:val="left"/>
      <w:pPr>
        <w:tabs>
          <w:tab w:val="num" w:pos="1051"/>
        </w:tabs>
        <w:ind w:left="1051" w:hanging="851"/>
      </w:pPr>
    </w:lvl>
    <w:lvl w:ilvl="4">
      <w:start w:val="1"/>
      <w:numFmt w:val="decimal"/>
      <w:lvlText w:val="%1.%2.%3.%4.%5."/>
      <w:lvlJc w:val="left"/>
      <w:pPr>
        <w:tabs>
          <w:tab w:val="num" w:pos="1192"/>
        </w:tabs>
        <w:ind w:left="1192" w:hanging="992"/>
      </w:pPr>
    </w:lvl>
    <w:lvl w:ilvl="5">
      <w:start w:val="1"/>
      <w:numFmt w:val="decimal"/>
      <w:lvlText w:val="%1.%2.%3.%4.%5.%6."/>
      <w:lvlJc w:val="left"/>
      <w:pPr>
        <w:tabs>
          <w:tab w:val="num" w:pos="1334"/>
        </w:tabs>
        <w:ind w:left="1334" w:hanging="1134"/>
      </w:pPr>
    </w:lvl>
    <w:lvl w:ilvl="6">
      <w:start w:val="1"/>
      <w:numFmt w:val="decimal"/>
      <w:lvlText w:val="%1.%2.%3.%4.%5.%6.%7."/>
      <w:lvlJc w:val="left"/>
      <w:pPr>
        <w:tabs>
          <w:tab w:val="num" w:pos="1476"/>
        </w:tabs>
        <w:ind w:left="1476" w:hanging="1276"/>
      </w:pPr>
    </w:lvl>
    <w:lvl w:ilvl="7">
      <w:start w:val="1"/>
      <w:numFmt w:val="decimal"/>
      <w:lvlText w:val="%1.%2.%3.%4.%5.%6.%7.%8."/>
      <w:lvlJc w:val="left"/>
      <w:pPr>
        <w:tabs>
          <w:tab w:val="num" w:pos="1618"/>
        </w:tabs>
        <w:ind w:left="1618" w:hanging="1418"/>
      </w:pPr>
    </w:lvl>
    <w:lvl w:ilvl="8">
      <w:start w:val="1"/>
      <w:numFmt w:val="decimal"/>
      <w:lvlText w:val="%1.%2.%3.%4.%5.%6.%7.%8.%9."/>
      <w:lvlJc w:val="left"/>
      <w:pPr>
        <w:tabs>
          <w:tab w:val="num" w:pos="1759"/>
        </w:tabs>
        <w:ind w:left="17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023"/>
    <w:rsid w:val="006C3787"/>
    <w:rsid w:val="00807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23"/>
    <w:pPr>
      <w:widowControl w:val="0"/>
      <w:jc w:val="both"/>
    </w:pPr>
    <w:rPr>
      <w:rFonts w:ascii="Times New Roman" w:eastAsia="宋体" w:hAnsi="Times New Roman" w:cs="Times New Roman"/>
      <w:szCs w:val="24"/>
    </w:rPr>
  </w:style>
  <w:style w:type="paragraph" w:styleId="10">
    <w:name w:val="heading 1"/>
    <w:basedOn w:val="a"/>
    <w:next w:val="a"/>
    <w:link w:val="1Char"/>
    <w:qFormat/>
    <w:rsid w:val="008070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7023"/>
    <w:rPr>
      <w:sz w:val="18"/>
      <w:szCs w:val="18"/>
    </w:rPr>
  </w:style>
  <w:style w:type="paragraph" w:styleId="a4">
    <w:name w:val="footer"/>
    <w:basedOn w:val="a"/>
    <w:link w:val="Char0"/>
    <w:uiPriority w:val="99"/>
    <w:semiHidden/>
    <w:unhideWhenUsed/>
    <w:rsid w:val="00807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7023"/>
    <w:rPr>
      <w:sz w:val="18"/>
      <w:szCs w:val="18"/>
    </w:rPr>
  </w:style>
  <w:style w:type="character" w:customStyle="1" w:styleId="1Char">
    <w:name w:val="标题 1 Char"/>
    <w:basedOn w:val="a0"/>
    <w:link w:val="10"/>
    <w:rsid w:val="00807023"/>
    <w:rPr>
      <w:rFonts w:ascii="Times New Roman" w:eastAsia="宋体" w:hAnsi="Times New Roman" w:cs="Times New Roman"/>
      <w:b/>
      <w:bCs/>
      <w:kern w:val="44"/>
      <w:sz w:val="44"/>
      <w:szCs w:val="44"/>
    </w:rPr>
  </w:style>
  <w:style w:type="paragraph" w:customStyle="1" w:styleId="1">
    <w:name w:val="正文1"/>
    <w:basedOn w:val="a"/>
    <w:autoRedefine/>
    <w:rsid w:val="00807023"/>
    <w:pPr>
      <w:widowControl/>
      <w:numPr>
        <w:numId w:val="1"/>
      </w:numPr>
      <w:spacing w:line="480" w:lineRule="exact"/>
      <w:jc w:val="left"/>
    </w:pPr>
    <w:rPr>
      <w:rFonts w:ascii="Arial" w:eastAsia="Times New Roman" w:hAnsi="Arial" w:cs="Verdana"/>
      <w:kern w:val="0"/>
      <w:sz w:val="28"/>
      <w:lang w:eastAsia="en-US"/>
    </w:rPr>
  </w:style>
  <w:style w:type="table" w:styleId="a5">
    <w:name w:val="Table Grid"/>
    <w:basedOn w:val="a1"/>
    <w:rsid w:val="008070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Company>微软中国</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2013-11-23T02:57:00Z</dcterms:created>
  <dcterms:modified xsi:type="dcterms:W3CDTF">2013-11-23T02:58:00Z</dcterms:modified>
</cp:coreProperties>
</file>